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 w:leftChars="-1" w:right="667" w:rightChars="278" w:hanging="1"/>
        <w:jc w:val="both"/>
        <w:rPr>
          <w:rFonts w:ascii="標楷體" w:hAnsi="標楷體" w:eastAsia="標楷體"/>
          <w:b/>
          <w:bCs/>
          <w:sz w:val="32"/>
          <w:szCs w:val="32"/>
        </w:rPr>
      </w:pPr>
      <w:r>
        <w:rPr>
          <w:rFonts w:hint="eastAsia" w:ascii="標楷體" w:hAnsi="標楷體" w:eastAsia="標楷體"/>
          <w:b/>
          <w:sz w:val="32"/>
          <w:szCs w:val="40"/>
        </w:rPr>
        <w:t>中華民國橄欖球協會</w:t>
      </w:r>
      <w:r>
        <w:rPr>
          <w:rFonts w:hint="eastAsia" w:ascii="標楷體" w:hAnsi="標楷體" w:eastAsia="標楷體"/>
          <w:b/>
          <w:sz w:val="32"/>
          <w:szCs w:val="32"/>
        </w:rPr>
        <w:t>2026年亞洲聯盟盃橄欖球錦標賽-參賽膳宿採購案(案號：11500</w:t>
      </w:r>
      <w:r>
        <w:rPr>
          <w:rFonts w:hint="eastAsia" w:ascii="標楷體" w:hAnsi="標楷體" w:eastAsia="標楷體"/>
          <w:b/>
          <w:sz w:val="32"/>
          <w:szCs w:val="32"/>
          <w:lang w:val="en-US" w:eastAsia="zh-TW"/>
        </w:rPr>
        <w:t>3</w:t>
      </w:r>
      <w:r>
        <w:rPr>
          <w:rFonts w:hint="eastAsia" w:ascii="標楷體" w:hAnsi="標楷體" w:eastAsia="標楷體"/>
          <w:b/>
          <w:sz w:val="32"/>
          <w:szCs w:val="32"/>
        </w:rPr>
        <w:t>)</w:t>
      </w:r>
      <w:r>
        <w:rPr>
          <w:rFonts w:hint="eastAsia" w:ascii="標楷體" w:hAnsi="標楷體" w:eastAsia="標楷體"/>
          <w:b/>
          <w:bCs/>
          <w:sz w:val="32"/>
          <w:szCs w:val="32"/>
        </w:rPr>
        <w:t>需求規範書</w:t>
      </w:r>
    </w:p>
    <w:p>
      <w:pPr>
        <w:numPr>
          <w:ilvl w:val="0"/>
          <w:numId w:val="1"/>
        </w:numPr>
        <w:adjustRightInd w:val="0"/>
        <w:snapToGrid w:val="0"/>
        <w:ind w:right="414"/>
        <w:jc w:val="both"/>
        <w:rPr>
          <w:rFonts w:eastAsia="標楷體"/>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hAnsi="標楷體" w:eastAsia="標楷體"/>
          <w:b/>
          <w:sz w:val="28"/>
          <w:szCs w:val="28"/>
        </w:rPr>
        <w:t>2026年亞洲聯盟盃橄欖球錦標賽-參賽膳宿採購案</w:t>
      </w:r>
      <w:r>
        <w:rPr>
          <w:rFonts w:hint="eastAsia" w:ascii="標楷體" w:hAnsi="標楷體" w:eastAsia="標楷體"/>
          <w:b/>
          <w:bCs/>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參賽膳宿：</w:t>
      </w:r>
      <w:r>
        <w:rPr>
          <w:rFonts w:hint="eastAsia" w:ascii="標楷體" w:hAnsi="標楷體"/>
          <w:color w:val="auto"/>
          <w:shd w:val="clear" w:color="auto" w:fill="FFFFFF" w:themeFill="background1"/>
        </w:rPr>
        <w:t>教練</w:t>
      </w:r>
      <w:r>
        <w:rPr>
          <w:rFonts w:ascii="標楷體" w:hAnsi="標楷體"/>
          <w:color w:val="auto"/>
          <w:shd w:val="clear" w:color="auto" w:fill="FFFFFF" w:themeFill="background1"/>
        </w:rPr>
        <w:t>3</w:t>
      </w:r>
      <w:r>
        <w:rPr>
          <w:rFonts w:hint="eastAsia" w:ascii="標楷體" w:hAnsi="標楷體"/>
          <w:color w:val="auto"/>
          <w:shd w:val="clear" w:color="auto" w:fill="FFFFFF" w:themeFill="background1"/>
        </w:rPr>
        <w:t>名、選手30名及防護員1名，</w:t>
      </w:r>
      <w:r>
        <w:rPr>
          <w:rFonts w:hint="eastAsia" w:ascii="標楷體" w:hAnsi="標楷體"/>
          <w:snapToGrid w:val="0"/>
          <w:color w:val="auto"/>
          <w:kern w:val="0"/>
          <w:szCs w:val="28"/>
          <w:shd w:val="clear" w:color="auto" w:fill="FFFFFF" w:themeFill="background1"/>
        </w:rPr>
        <w:t>共34名膳</w:t>
      </w:r>
      <w:r>
        <w:rPr>
          <w:rFonts w:hint="eastAsia" w:ascii="標楷體" w:hAnsi="標楷體"/>
          <w:color w:val="auto"/>
          <w:shd w:val="clear" w:color="auto" w:fill="FFFFFF" w:themeFill="background1"/>
        </w:rPr>
        <w:t>宿。</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住宿地點離比賽地3公里內。</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7"/>
        <w:jc w:val="both"/>
        <w:rPr>
          <w:rFonts w:cs="標楷體"/>
        </w:rPr>
      </w:pPr>
      <w:r>
        <w:rPr>
          <w:rFonts w:hint="eastAsia"/>
          <w:kern w:val="16"/>
        </w:rPr>
        <w:t xml:space="preserve"> 九</w:t>
      </w:r>
      <w:r>
        <w:rPr>
          <w:rFonts w:hint="eastAsia" w:ascii="標楷體" w:hAnsi="標楷體" w:cs="標楷體"/>
          <w:kern w:val="16"/>
        </w:rPr>
        <w:t>、</w:t>
      </w:r>
      <w:r>
        <w:rPr>
          <w:rFonts w:hint="eastAsia"/>
          <w:kern w:val="16"/>
        </w:rPr>
        <w:t>餐點</w:t>
      </w:r>
      <w:r>
        <w:t>用</w:t>
      </w:r>
      <w:r>
        <w:rPr>
          <w:spacing w:val="-3"/>
        </w:rPr>
        <w:t>餐</w:t>
      </w:r>
      <w:r>
        <w:t>時段（</w:t>
      </w:r>
      <w:r>
        <w:rPr>
          <w:spacing w:val="-3"/>
        </w:rPr>
        <w:t>配</w:t>
      </w:r>
      <w:r>
        <w:t>合</w:t>
      </w:r>
      <w:r>
        <w:rPr>
          <w:rFonts w:hint="eastAsia"/>
        </w:rPr>
        <w:t>選手</w:t>
      </w:r>
      <w:r>
        <w:rPr>
          <w:spacing w:val="-3"/>
        </w:rPr>
        <w:t>練</w:t>
      </w:r>
      <w:r>
        <w:t>習、</w:t>
      </w:r>
      <w:r>
        <w:rPr>
          <w:spacing w:val="-3"/>
        </w:rPr>
        <w:t>比賽</w:t>
      </w:r>
      <w:r>
        <w:t>之需求</w:t>
      </w:r>
      <w:r>
        <w:rPr>
          <w:spacing w:val="-3"/>
        </w:rPr>
        <w:t>調</w:t>
      </w:r>
      <w:r>
        <w:t>整</w:t>
      </w:r>
      <w:r>
        <w:rPr>
          <w:rFonts w:cs="標楷體"/>
        </w:rPr>
        <w:t>)</w:t>
      </w:r>
      <w:r>
        <w:rPr>
          <w:spacing w:val="-142"/>
        </w:rPr>
        <w:t>：</w:t>
      </w:r>
    </w:p>
    <w:p>
      <w:pPr>
        <w:pStyle w:val="7"/>
        <w:ind w:left="1134" w:hanging="221"/>
        <w:jc w:val="both"/>
        <w:rPr>
          <w:sz w:val="26"/>
          <w:szCs w:val="26"/>
        </w:rPr>
      </w:pPr>
      <w:r>
        <w:rPr>
          <w:rFonts w:cs="標楷體"/>
          <w:spacing w:val="-1"/>
          <w:sz w:val="26"/>
          <w:szCs w:val="26"/>
        </w:rPr>
        <w:t>1</w:t>
      </w:r>
      <w:r>
        <w:rPr>
          <w:rFonts w:hint="eastAsia"/>
          <w:spacing w:val="-1"/>
          <w:sz w:val="26"/>
          <w:szCs w:val="26"/>
        </w:rPr>
        <w:t>.</w:t>
      </w:r>
      <w:r>
        <w:rPr>
          <w:spacing w:val="-1"/>
          <w:sz w:val="26"/>
          <w:szCs w:val="26"/>
        </w:rPr>
        <w:t>早餐：</w:t>
      </w:r>
      <w:r>
        <w:rPr>
          <w:rFonts w:hint="eastAsia"/>
          <w:spacing w:val="-1"/>
          <w:sz w:val="26"/>
          <w:szCs w:val="26"/>
        </w:rPr>
        <w:t>06:00-10:00</w:t>
      </w:r>
    </w:p>
    <w:p>
      <w:pPr>
        <w:pStyle w:val="7"/>
        <w:ind w:left="1134" w:hanging="221"/>
        <w:jc w:val="both"/>
        <w:rPr>
          <w:rFonts w:cs="標楷體"/>
          <w:sz w:val="26"/>
          <w:szCs w:val="26"/>
        </w:rPr>
      </w:pPr>
      <w:r>
        <w:rPr>
          <w:rFonts w:cs="標楷體"/>
          <w:spacing w:val="-1"/>
          <w:sz w:val="26"/>
          <w:szCs w:val="26"/>
        </w:rPr>
        <w:t>2</w:t>
      </w:r>
      <w:r>
        <w:rPr>
          <w:rFonts w:hint="eastAsia"/>
          <w:spacing w:val="-1"/>
          <w:sz w:val="26"/>
          <w:szCs w:val="26"/>
        </w:rPr>
        <w:t>.</w:t>
      </w:r>
      <w:r>
        <w:rPr>
          <w:spacing w:val="-1"/>
          <w:sz w:val="26"/>
          <w:szCs w:val="26"/>
        </w:rPr>
        <w:t>午餐：</w:t>
      </w:r>
      <w:r>
        <w:rPr>
          <w:rFonts w:cs="標楷體"/>
          <w:spacing w:val="-1"/>
          <w:sz w:val="26"/>
          <w:szCs w:val="26"/>
        </w:rPr>
        <w:t>11:</w:t>
      </w:r>
      <w:r>
        <w:rPr>
          <w:rFonts w:hint="eastAsia" w:cs="標楷體"/>
          <w:spacing w:val="-1"/>
          <w:sz w:val="26"/>
          <w:szCs w:val="26"/>
        </w:rPr>
        <w:t>3</w:t>
      </w:r>
      <w:r>
        <w:rPr>
          <w:rFonts w:cs="標楷體"/>
          <w:spacing w:val="-1"/>
          <w:sz w:val="26"/>
          <w:szCs w:val="26"/>
        </w:rPr>
        <w:t>0-14:</w:t>
      </w:r>
      <w:r>
        <w:rPr>
          <w:spacing w:val="-39"/>
          <w:sz w:val="26"/>
          <w:szCs w:val="26"/>
        </w:rPr>
        <w:t>00</w:t>
      </w:r>
      <w:r>
        <w:rPr>
          <w:rFonts w:hint="eastAsia"/>
          <w:spacing w:val="-1"/>
          <w:sz w:val="26"/>
          <w:szCs w:val="26"/>
        </w:rPr>
        <w:t>(自115年7月10日起自115年7月18日止)</w:t>
      </w:r>
    </w:p>
    <w:p>
      <w:pPr>
        <w:pStyle w:val="7"/>
        <w:ind w:left="1134" w:hanging="221"/>
        <w:jc w:val="both"/>
        <w:rPr>
          <w:rFonts w:cs="標楷體"/>
          <w:spacing w:val="-1"/>
          <w:sz w:val="26"/>
          <w:szCs w:val="26"/>
        </w:rPr>
      </w:pPr>
      <w:r>
        <w:rPr>
          <w:rFonts w:cs="標楷體"/>
          <w:spacing w:val="-1"/>
          <w:sz w:val="26"/>
          <w:szCs w:val="26"/>
        </w:rPr>
        <w:t>3</w:t>
      </w:r>
      <w:r>
        <w:rPr>
          <w:rFonts w:hint="eastAsia"/>
          <w:spacing w:val="-1"/>
          <w:sz w:val="26"/>
          <w:szCs w:val="26"/>
        </w:rPr>
        <w:t>.</w:t>
      </w:r>
      <w:r>
        <w:rPr>
          <w:spacing w:val="-1"/>
          <w:sz w:val="26"/>
          <w:szCs w:val="26"/>
        </w:rPr>
        <w:t>晚餐：</w:t>
      </w:r>
      <w:r>
        <w:rPr>
          <w:rFonts w:cs="標楷體"/>
          <w:spacing w:val="-1"/>
          <w:sz w:val="26"/>
          <w:szCs w:val="26"/>
        </w:rPr>
        <w:t>17:00-2</w:t>
      </w:r>
      <w:r>
        <w:rPr>
          <w:rFonts w:hint="eastAsia" w:cs="標楷體"/>
          <w:spacing w:val="-1"/>
          <w:sz w:val="26"/>
          <w:szCs w:val="26"/>
        </w:rPr>
        <w:t>2</w:t>
      </w:r>
      <w:r>
        <w:rPr>
          <w:rFonts w:cs="標楷體"/>
          <w:spacing w:val="-1"/>
          <w:sz w:val="26"/>
          <w:szCs w:val="26"/>
        </w:rPr>
        <w:t>:30</w:t>
      </w:r>
      <w:r>
        <w:rPr>
          <w:rFonts w:hint="eastAsia" w:cs="標楷體"/>
          <w:spacing w:val="-1"/>
          <w:sz w:val="26"/>
          <w:szCs w:val="26"/>
        </w:rPr>
        <w:t>(</w:t>
      </w:r>
      <w:r>
        <w:rPr>
          <w:rFonts w:hint="eastAsia"/>
          <w:spacing w:val="-1"/>
          <w:sz w:val="26"/>
          <w:szCs w:val="26"/>
        </w:rPr>
        <w:t>自115年7月10日起自115年7月18日止</w:t>
      </w:r>
      <w:r>
        <w:rPr>
          <w:rFonts w:hint="eastAsia" w:cs="標楷體"/>
          <w:spacing w:val="-1"/>
          <w:sz w:val="26"/>
          <w:szCs w:val="26"/>
        </w:rPr>
        <w:t>)</w:t>
      </w:r>
    </w:p>
    <w:p>
      <w:pPr>
        <w:pStyle w:val="7"/>
        <w:ind w:left="1134" w:hanging="221"/>
        <w:jc w:val="both"/>
        <w:rPr>
          <w:sz w:val="26"/>
          <w:szCs w:val="26"/>
        </w:rPr>
      </w:pPr>
      <w:r>
        <w:rPr>
          <w:rFonts w:cs="標楷體"/>
          <w:spacing w:val="-2"/>
          <w:sz w:val="26"/>
          <w:szCs w:val="26"/>
        </w:rPr>
        <w:t>4</w:t>
      </w:r>
      <w:r>
        <w:rPr>
          <w:rFonts w:hint="eastAsia"/>
          <w:spacing w:val="-2"/>
          <w:sz w:val="26"/>
          <w:szCs w:val="26"/>
        </w:rPr>
        <w:t>.</w:t>
      </w:r>
      <w:r>
        <w:rPr>
          <w:spacing w:val="-2"/>
          <w:sz w:val="26"/>
          <w:szCs w:val="26"/>
        </w:rPr>
        <w:t>如遇臨時</w:t>
      </w:r>
      <w:r>
        <w:rPr>
          <w:rFonts w:hint="eastAsia"/>
          <w:spacing w:val="-2"/>
          <w:sz w:val="26"/>
          <w:szCs w:val="26"/>
        </w:rPr>
        <w:t>變動情形</w:t>
      </w:r>
      <w:r>
        <w:rPr>
          <w:spacing w:val="-2"/>
          <w:sz w:val="26"/>
          <w:szCs w:val="26"/>
        </w:rPr>
        <w:t>，須依現場狀況協助調整用餐時間或提供替代方</w:t>
      </w:r>
      <w:r>
        <w:rPr>
          <w:sz w:val="26"/>
          <w:szCs w:val="26"/>
        </w:rPr>
        <w:t>案。</w:t>
      </w:r>
    </w:p>
    <w:tbl>
      <w:tblPr>
        <w:tblStyle w:val="14"/>
        <w:tblpPr w:leftFromText="180" w:rightFromText="180" w:vertAnchor="text" w:horzAnchor="page" w:tblpX="1297" w:tblpY="411"/>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2547"/>
        <w:gridCol w:w="1094"/>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2" w:hRule="atLeast"/>
          <w:tblHeader/>
        </w:trPr>
        <w:tc>
          <w:tcPr>
            <w:tcW w:w="709" w:type="dxa"/>
            <w:vAlign w:val="center"/>
          </w:tcPr>
          <w:p>
            <w:pPr>
              <w:jc w:val="center"/>
              <w:rPr>
                <w:rFonts w:ascii="標楷體" w:hAnsi="標楷體" w:eastAsia="標楷體"/>
                <w:sz w:val="26"/>
                <w:szCs w:val="26"/>
              </w:rPr>
            </w:pPr>
            <w:r>
              <w:rPr>
                <w:rFonts w:hint="eastAsia" w:ascii="標楷體" w:hAnsi="標楷體" w:eastAsia="標楷體"/>
                <w:sz w:val="26"/>
                <w:szCs w:val="26"/>
              </w:rPr>
              <w:t>項次</w:t>
            </w:r>
          </w:p>
        </w:tc>
        <w:tc>
          <w:tcPr>
            <w:tcW w:w="2547" w:type="dxa"/>
            <w:vAlign w:val="center"/>
          </w:tcPr>
          <w:p>
            <w:pPr>
              <w:jc w:val="center"/>
              <w:rPr>
                <w:rFonts w:ascii="標楷體" w:hAnsi="標楷體" w:eastAsia="標楷體"/>
                <w:sz w:val="26"/>
                <w:szCs w:val="26"/>
              </w:rPr>
            </w:pPr>
            <w:r>
              <w:rPr>
                <w:rFonts w:hint="eastAsia" w:ascii="標楷體" w:hAnsi="標楷體" w:eastAsia="標楷體"/>
                <w:sz w:val="26"/>
                <w:szCs w:val="26"/>
              </w:rPr>
              <w:t>項目</w:t>
            </w:r>
          </w:p>
        </w:tc>
        <w:tc>
          <w:tcPr>
            <w:tcW w:w="1094" w:type="dxa"/>
            <w:vAlign w:val="center"/>
          </w:tcPr>
          <w:p>
            <w:pPr>
              <w:jc w:val="center"/>
              <w:rPr>
                <w:rFonts w:ascii="標楷體" w:hAnsi="標楷體" w:eastAsia="標楷體"/>
                <w:sz w:val="26"/>
                <w:szCs w:val="26"/>
              </w:rPr>
            </w:pPr>
            <w:r>
              <w:rPr>
                <w:rFonts w:hint="eastAsia" w:ascii="標楷體" w:hAnsi="標楷體" w:eastAsia="標楷體"/>
                <w:sz w:val="26"/>
                <w:szCs w:val="26"/>
              </w:rPr>
              <w:t>數量</w:t>
            </w:r>
          </w:p>
        </w:tc>
        <w:tc>
          <w:tcPr>
            <w:tcW w:w="5953" w:type="dxa"/>
            <w:vAlign w:val="center"/>
          </w:tcPr>
          <w:p>
            <w:pPr>
              <w:jc w:val="center"/>
              <w:rPr>
                <w:rFonts w:ascii="標楷體" w:hAnsi="標楷體" w:eastAsia="標楷體"/>
                <w:sz w:val="26"/>
                <w:szCs w:val="26"/>
              </w:rPr>
            </w:pPr>
            <w:r>
              <w:rPr>
                <w:rFonts w:hint="eastAsia" w:ascii="標楷體" w:hAnsi="標楷體" w:eastAsia="標楷體"/>
                <w:sz w:val="26"/>
                <w:szCs w:val="26"/>
              </w:rPr>
              <w:t>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53" w:hRule="atLeast"/>
        </w:trPr>
        <w:tc>
          <w:tcPr>
            <w:tcW w:w="709" w:type="dxa"/>
            <w:vAlign w:val="center"/>
          </w:tcPr>
          <w:p>
            <w:pPr>
              <w:jc w:val="center"/>
              <w:rPr>
                <w:rFonts w:ascii="標楷體" w:hAnsi="標楷體" w:eastAsia="標楷體"/>
                <w:sz w:val="26"/>
                <w:szCs w:val="26"/>
              </w:rPr>
            </w:pPr>
            <w:r>
              <w:rPr>
                <w:rFonts w:hint="eastAsia" w:ascii="標楷體" w:hAnsi="標楷體" w:eastAsia="標楷體"/>
                <w:sz w:val="26"/>
                <w:szCs w:val="26"/>
              </w:rPr>
              <w:t>01</w:t>
            </w:r>
          </w:p>
        </w:tc>
        <w:tc>
          <w:tcPr>
            <w:tcW w:w="2547" w:type="dxa"/>
            <w:vAlign w:val="center"/>
          </w:tcPr>
          <w:p>
            <w:pPr>
              <w:jc w:val="both"/>
              <w:rPr>
                <w:rFonts w:ascii="標楷體" w:hAnsi="標楷體" w:eastAsia="標楷體"/>
                <w:bCs/>
                <w:sz w:val="26"/>
                <w:szCs w:val="26"/>
              </w:rPr>
            </w:pPr>
            <w:r>
              <w:rPr>
                <w:rFonts w:hint="eastAsia" w:ascii="標楷體" w:hAnsi="標楷體" w:eastAsia="標楷體"/>
                <w:bCs/>
                <w:sz w:val="26"/>
                <w:szCs w:val="26"/>
              </w:rPr>
              <w:t>球隊住宿-</w:t>
            </w:r>
          </w:p>
          <w:p>
            <w:pPr>
              <w:jc w:val="both"/>
              <w:rPr>
                <w:rFonts w:ascii="標楷體" w:hAnsi="標楷體" w:eastAsia="標楷體"/>
                <w:b/>
                <w:bCs/>
                <w:sz w:val="26"/>
                <w:szCs w:val="26"/>
              </w:rPr>
            </w:pPr>
            <w:r>
              <w:rPr>
                <w:rFonts w:hint="eastAsia" w:ascii="標楷體" w:hAnsi="標楷體" w:eastAsia="標楷體"/>
                <w:bCs/>
                <w:sz w:val="26"/>
                <w:szCs w:val="26"/>
              </w:rPr>
              <w:t>雙人房/單人房</w:t>
            </w:r>
          </w:p>
        </w:tc>
        <w:tc>
          <w:tcPr>
            <w:tcW w:w="1094" w:type="dxa"/>
            <w:vAlign w:val="center"/>
          </w:tcPr>
          <w:p>
            <w:pPr>
              <w:spacing w:line="320" w:lineRule="exact"/>
              <w:jc w:val="center"/>
              <w:rPr>
                <w:rFonts w:ascii="標楷體" w:hAnsi="標楷體" w:eastAsia="標楷體"/>
                <w:sz w:val="26"/>
                <w:szCs w:val="26"/>
              </w:rPr>
            </w:pPr>
            <w:r>
              <w:rPr>
                <w:rFonts w:hint="eastAsia" w:ascii="標楷體" w:hAnsi="標楷體" w:eastAsia="標楷體"/>
                <w:sz w:val="26"/>
                <w:szCs w:val="26"/>
              </w:rPr>
              <w:t>153間</w:t>
            </w:r>
          </w:p>
        </w:tc>
        <w:tc>
          <w:tcPr>
            <w:tcW w:w="5953" w:type="dxa"/>
            <w:vAlign w:val="center"/>
          </w:tcPr>
          <w:p>
            <w:pPr>
              <w:spacing w:after="0" w:line="280" w:lineRule="exact"/>
              <w:rPr>
                <w:rFonts w:ascii="標楷體" w:hAnsi="標楷體" w:eastAsia="標楷體"/>
                <w:bCs/>
              </w:rPr>
            </w:pPr>
            <w:r>
              <w:rPr>
                <w:rFonts w:hint="eastAsia" w:ascii="標楷體" w:hAnsi="標楷體" w:eastAsia="標楷體"/>
                <w:bCs/>
              </w:rPr>
              <w:t>一、15間雙人房1間單人房。</w:t>
            </w:r>
          </w:p>
          <w:p>
            <w:pPr>
              <w:spacing w:after="0" w:line="280" w:lineRule="exact"/>
              <w:rPr>
                <w:rFonts w:ascii="標楷體" w:hAnsi="標楷體" w:eastAsia="標楷體"/>
                <w:bCs/>
              </w:rPr>
            </w:pPr>
            <w:r>
              <w:rPr>
                <w:rFonts w:hint="eastAsia" w:ascii="標楷體" w:hAnsi="標楷體" w:eastAsia="標楷體"/>
                <w:bCs/>
              </w:rPr>
              <w:t>(入住時間7/10-7/18，7/19退房)。</w:t>
            </w:r>
          </w:p>
          <w:p>
            <w:pPr>
              <w:spacing w:after="0" w:line="280" w:lineRule="exact"/>
              <w:rPr>
                <w:rFonts w:ascii="標楷體" w:hAnsi="標楷體" w:eastAsia="標楷體"/>
              </w:rPr>
            </w:pPr>
            <w:r>
              <w:rPr>
                <w:rFonts w:hint="eastAsia" w:ascii="標楷體" w:hAnsi="標楷體" w:eastAsia="標楷體"/>
                <w:bCs/>
              </w:rPr>
              <w:t>二、34人/17間*9晚＝153間。</w:t>
            </w:r>
            <w:r>
              <w:rPr>
                <w:rFonts w:ascii="標楷體" w:hAnsi="標楷體" w:eastAsia="標楷體"/>
                <w:bCs/>
              </w:rPr>
              <w:br w:type="textWrapping"/>
            </w:r>
            <w:r>
              <w:rPr>
                <w:rFonts w:hint="eastAsia" w:ascii="標楷體" w:hAnsi="標楷體" w:eastAsia="標楷體"/>
              </w:rPr>
              <w:t>三、</w:t>
            </w:r>
            <w:r>
              <w:rPr>
                <w:rFonts w:ascii="標楷體" w:hAnsi="標楷體" w:eastAsia="標楷體"/>
              </w:rPr>
              <w:t>經本會認可之飯/酒店。</w:t>
            </w:r>
          </w:p>
          <w:p>
            <w:pPr>
              <w:spacing w:after="0" w:line="280" w:lineRule="exact"/>
              <w:rPr>
                <w:rFonts w:ascii="標楷體" w:hAnsi="標楷體" w:eastAsia="標楷體"/>
              </w:rPr>
            </w:pPr>
            <w:r>
              <w:rPr>
                <w:rFonts w:hint="eastAsia" w:ascii="標楷體" w:hAnsi="標楷體" w:eastAsia="標楷體"/>
              </w:rPr>
              <w:t>四、</w:t>
            </w:r>
            <w:r>
              <w:rPr>
                <w:rFonts w:ascii="標楷體" w:hAnsi="標楷體" w:eastAsia="標楷體"/>
              </w:rPr>
              <w:t>以上皆含早餐以全自助式餐點為原則</w:t>
            </w:r>
            <w:r>
              <w:rPr>
                <w:rFonts w:hint="eastAsia" w:ascii="標楷體" w:hAnsi="標楷體" w:eastAsia="標楷體"/>
              </w:rPr>
              <w:t>。</w:t>
            </w:r>
          </w:p>
          <w:p>
            <w:pPr>
              <w:spacing w:after="0" w:line="280" w:lineRule="exact"/>
              <w:rPr>
                <w:rFonts w:ascii="標楷體" w:hAnsi="標楷體" w:eastAsia="標楷體"/>
              </w:rPr>
            </w:pPr>
            <w:r>
              <w:rPr>
                <w:rFonts w:hint="eastAsia" w:ascii="標楷體" w:hAnsi="標楷體" w:eastAsia="標楷體"/>
              </w:rPr>
              <w:t>五、</w:t>
            </w:r>
            <w:r>
              <w:rPr>
                <w:rFonts w:ascii="標楷體" w:hAnsi="標楷體" w:eastAsia="標楷體"/>
              </w:rPr>
              <w:t>房型分配依據實際需求調整。</w:t>
            </w:r>
          </w:p>
          <w:p>
            <w:pPr>
              <w:spacing w:after="0" w:line="280" w:lineRule="exact"/>
              <w:rPr>
                <w:rFonts w:ascii="標楷體" w:hAnsi="標楷體" w:eastAsia="標楷體"/>
              </w:rPr>
            </w:pPr>
            <w:r>
              <w:rPr>
                <w:rFonts w:hint="eastAsia" w:ascii="標楷體" w:hAnsi="標楷體" w:eastAsia="標楷體"/>
              </w:rPr>
              <w:t>六、須含早餐。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10" w:hRule="atLeast"/>
        </w:trPr>
        <w:tc>
          <w:tcPr>
            <w:tcW w:w="709" w:type="dxa"/>
            <w:vAlign w:val="center"/>
          </w:tcPr>
          <w:p>
            <w:pPr>
              <w:jc w:val="center"/>
              <w:rPr>
                <w:rFonts w:ascii="標楷體" w:hAnsi="標楷體" w:eastAsia="標楷體"/>
                <w:sz w:val="26"/>
                <w:szCs w:val="26"/>
              </w:rPr>
            </w:pPr>
            <w:r>
              <w:rPr>
                <w:rFonts w:hint="eastAsia" w:ascii="標楷體" w:hAnsi="標楷體" w:eastAsia="標楷體"/>
                <w:sz w:val="26"/>
                <w:szCs w:val="26"/>
              </w:rPr>
              <w:t>02</w:t>
            </w:r>
          </w:p>
        </w:tc>
        <w:tc>
          <w:tcPr>
            <w:tcW w:w="2547" w:type="dxa"/>
            <w:vAlign w:val="center"/>
          </w:tcPr>
          <w:p>
            <w:pPr>
              <w:jc w:val="both"/>
              <w:rPr>
                <w:rFonts w:ascii="標楷體" w:hAnsi="標楷體" w:eastAsia="標楷體"/>
                <w:b/>
                <w:bCs/>
                <w:sz w:val="26"/>
                <w:szCs w:val="26"/>
              </w:rPr>
            </w:pPr>
            <w:r>
              <w:rPr>
                <w:rFonts w:hint="eastAsia" w:ascii="標楷體" w:hAnsi="標楷體" w:eastAsia="標楷體"/>
                <w:bCs/>
                <w:sz w:val="26"/>
                <w:szCs w:val="26"/>
              </w:rPr>
              <w:t>球隊膳食</w:t>
            </w:r>
          </w:p>
        </w:tc>
        <w:tc>
          <w:tcPr>
            <w:tcW w:w="1094" w:type="dxa"/>
            <w:vAlign w:val="center"/>
          </w:tcPr>
          <w:p>
            <w:pPr>
              <w:spacing w:line="320" w:lineRule="exact"/>
              <w:jc w:val="center"/>
              <w:rPr>
                <w:rFonts w:ascii="標楷體" w:hAnsi="標楷體" w:eastAsia="標楷體"/>
                <w:sz w:val="26"/>
                <w:szCs w:val="26"/>
              </w:rPr>
            </w:pPr>
            <w:r>
              <w:rPr>
                <w:rFonts w:hint="eastAsia" w:ascii="標楷體" w:hAnsi="標楷體" w:eastAsia="標楷體"/>
                <w:sz w:val="26"/>
                <w:szCs w:val="26"/>
              </w:rPr>
              <w:t>612份</w:t>
            </w:r>
          </w:p>
        </w:tc>
        <w:tc>
          <w:tcPr>
            <w:tcW w:w="5953" w:type="dxa"/>
            <w:vAlign w:val="center"/>
          </w:tcPr>
          <w:p>
            <w:pPr>
              <w:spacing w:after="0" w:line="280" w:lineRule="exact"/>
              <w:rPr>
                <w:rFonts w:ascii="標楷體" w:hAnsi="標楷體" w:eastAsia="標楷體"/>
              </w:rPr>
            </w:pPr>
            <w:r>
              <w:rPr>
                <w:rFonts w:hint="eastAsia" w:ascii="標楷體" w:hAnsi="標楷體" w:eastAsia="標楷體"/>
              </w:rPr>
              <w:t>一、30球員＋3教練+1防護共34人</w:t>
            </w:r>
          </w:p>
          <w:p>
            <w:pPr>
              <w:spacing w:after="0" w:line="280" w:lineRule="exact"/>
              <w:rPr>
                <w:rFonts w:ascii="標楷體" w:hAnsi="標楷體" w:eastAsia="標楷體"/>
              </w:rPr>
            </w:pPr>
            <w:r>
              <w:rPr>
                <w:rFonts w:hint="eastAsia" w:ascii="標楷體" w:hAnsi="標楷體" w:eastAsia="標楷體"/>
              </w:rPr>
              <w:t>二、每人每日共兩餐。</w:t>
            </w:r>
          </w:p>
          <w:p>
            <w:pPr>
              <w:spacing w:after="0" w:line="280" w:lineRule="exact"/>
              <w:rPr>
                <w:rFonts w:ascii="標楷體" w:hAnsi="標楷體" w:eastAsia="標楷體"/>
              </w:rPr>
            </w:pPr>
            <w:r>
              <w:rPr>
                <w:rFonts w:hint="eastAsia" w:ascii="標楷體" w:hAnsi="標楷體" w:eastAsia="標楷體"/>
              </w:rPr>
              <w:t>三、34人＊9天*2餐=612份。</w:t>
            </w:r>
          </w:p>
          <w:p>
            <w:pPr>
              <w:spacing w:after="0" w:line="280" w:lineRule="exact"/>
              <w:rPr>
                <w:rFonts w:ascii="標楷體" w:hAnsi="標楷體" w:eastAsia="標楷體"/>
              </w:rPr>
            </w:pPr>
            <w:r>
              <w:rPr>
                <w:rFonts w:hint="eastAsia" w:ascii="標楷體" w:hAnsi="標楷體" w:eastAsia="標楷體"/>
              </w:rPr>
              <w:t>四、用餐時間及餐點依據球隊實際需求調整。</w:t>
            </w:r>
          </w:p>
        </w:tc>
      </w:tr>
    </w:tbl>
    <w:p>
      <w:pPr>
        <w:pStyle w:val="7"/>
        <w:ind w:left="1067" w:leftChars="194" w:hanging="601" w:hangingChars="202"/>
        <w:jc w:val="both"/>
        <w:rPr>
          <w:spacing w:val="-1"/>
        </w:rPr>
      </w:pP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本案採購金額新臺幣73萬</w:t>
      </w:r>
      <w:r>
        <w:rPr>
          <w:color w:val="auto"/>
          <w:kern w:val="16"/>
          <w:szCs w:val="24"/>
          <w:shd w:val="clear" w:color="auto" w:fill="FFFFFF" w:themeFill="background1"/>
        </w:rPr>
        <w:t>4</w:t>
      </w:r>
      <w:r>
        <w:rPr>
          <w:rFonts w:eastAsia="微軟正黑體"/>
          <w:color w:val="auto"/>
          <w:kern w:val="16"/>
          <w:szCs w:val="24"/>
          <w:shd w:val="clear" w:color="auto" w:fill="FFFFFF" w:themeFill="background1"/>
        </w:rPr>
        <w:t>¸4</w:t>
      </w:r>
      <w:r>
        <w:rPr>
          <w:rFonts w:hint="eastAsia"/>
          <w:color w:val="auto"/>
          <w:kern w:val="16"/>
          <w:szCs w:val="24"/>
          <w:shd w:val="clear" w:color="auto" w:fill="FFFFFF" w:themeFill="background1"/>
        </w:rPr>
        <w:t>00元整</w:t>
      </w:r>
      <w:r>
        <w:rPr>
          <w:rFonts w:hint="eastAsia" w:ascii="標楷體" w:hAnsi="標楷體"/>
          <w:color w:val="auto"/>
          <w:shd w:val="clear" w:color="auto" w:fill="FFFFFF" w:themeFill="background1"/>
        </w:rPr>
        <w:t>（含稅，依實際決算金額為準）。</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決標翌日起至115年8月31日止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本案依「採購評選委員會組織準則」成立評審小組，並參考「採購評選委員會審議規則」及參考「最有利標評選辦法」辦理評審。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23"/>
        <w:tblpPr w:leftFromText="180" w:rightFromText="180" w:vertAnchor="text" w:horzAnchor="page" w:tblpX="1910" w:tblpY="113"/>
        <w:tblOverlap w:val="never"/>
        <w:tblW w:w="9386" w:type="dxa"/>
        <w:tblInd w:w="0" w:type="dxa"/>
        <w:tblLayout w:type="fixed"/>
        <w:tblCellMar>
          <w:top w:w="0" w:type="dxa"/>
          <w:left w:w="0" w:type="dxa"/>
          <w:bottom w:w="0" w:type="dxa"/>
          <w:right w:w="0" w:type="dxa"/>
        </w:tblCellMar>
      </w:tblPr>
      <w:tblGrid>
        <w:gridCol w:w="760"/>
        <w:gridCol w:w="2268"/>
        <w:gridCol w:w="5367"/>
        <w:gridCol w:w="991"/>
      </w:tblGrid>
      <w:tr>
        <w:tblPrEx>
          <w:tblLayout w:type="fixed"/>
          <w:tblCellMar>
            <w:top w:w="0" w:type="dxa"/>
            <w:left w:w="0" w:type="dxa"/>
            <w:bottom w:w="0" w:type="dxa"/>
            <w:right w:w="0" w:type="dxa"/>
          </w:tblCellMar>
        </w:tblPrEx>
        <w:trPr>
          <w:trHeight w:val="566" w:hRule="exact"/>
          <w:tblHeader/>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項次</w:t>
            </w:r>
          </w:p>
        </w:tc>
        <w:tc>
          <w:tcPr>
            <w:tcW w:w="7635" w:type="dxa"/>
            <w:gridSpan w:val="2"/>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項目</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szCs w:val="24"/>
              </w:rPr>
              <w:t>配分</w:t>
            </w:r>
          </w:p>
        </w:tc>
      </w:tr>
      <w:tr>
        <w:tblPrEx>
          <w:tblLayout w:type="fixed"/>
          <w:tblCellMar>
            <w:top w:w="0" w:type="dxa"/>
            <w:left w:w="0" w:type="dxa"/>
            <w:bottom w:w="0" w:type="dxa"/>
            <w:right w:w="0" w:type="dxa"/>
          </w:tblCellMar>
        </w:tblPrEx>
        <w:trPr>
          <w:trHeight w:val="1232"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一</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cs="標楷體"/>
                <w:color w:val="3333FF"/>
                <w:szCs w:val="24"/>
              </w:rPr>
              <w:t>企劃書</w:t>
            </w:r>
            <w:r>
              <w:rPr>
                <w:rFonts w:ascii="標楷體" w:hAnsi="標楷體" w:eastAsia="標楷體" w:cs="標楷體"/>
                <w:szCs w:val="24"/>
              </w:rPr>
              <w:t>內容之適當性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飯店介紹</w:t>
            </w:r>
            <w:r>
              <w:rPr>
                <w:rFonts w:hint="eastAsia" w:ascii="標楷體" w:hAnsi="標楷體" w:eastAsia="標楷體" w:cs="標楷體"/>
                <w:szCs w:val="24"/>
              </w:rPr>
              <w:t>。</w:t>
            </w:r>
          </w:p>
          <w:p>
            <w:pPr>
              <w:pStyle w:val="22"/>
              <w:spacing w:after="0" w:line="300" w:lineRule="exact"/>
              <w:ind w:left="242" w:right="22" w:hanging="242" w:hangingChars="100"/>
              <w:jc w:val="both"/>
              <w:rPr>
                <w:rFonts w:ascii="標楷體" w:hAnsi="標楷體" w:eastAsia="標楷體" w:cs="標楷體"/>
                <w:szCs w:val="24"/>
              </w:rPr>
            </w:pPr>
            <w:r>
              <w:rPr>
                <w:rFonts w:ascii="標楷體" w:hAnsi="標楷體" w:eastAsia="標楷體"/>
                <w:spacing w:val="1"/>
                <w:szCs w:val="24"/>
              </w:rPr>
              <w:t>2.</w:t>
            </w:r>
            <w:r>
              <w:rPr>
                <w:rFonts w:ascii="標楷體" w:hAnsi="標楷體" w:eastAsia="標楷體" w:cs="標楷體"/>
                <w:spacing w:val="1"/>
                <w:szCs w:val="24"/>
              </w:rPr>
              <w:t>計畫</w:t>
            </w:r>
            <w:r>
              <w:rPr>
                <w:rFonts w:ascii="標楷體" w:hAnsi="標楷體" w:eastAsia="標楷體" w:cs="標楷體"/>
                <w:szCs w:val="24"/>
              </w:rPr>
              <w:t>內容</w:t>
            </w:r>
            <w:r>
              <w:rPr>
                <w:rFonts w:ascii="標楷體" w:hAnsi="標楷體" w:eastAsia="標楷體" w:cs="標楷體"/>
                <w:spacing w:val="1"/>
                <w:szCs w:val="24"/>
              </w:rPr>
              <w:t>（含房型數量配置、樓層分配、各</w:t>
            </w:r>
            <w:r>
              <w:rPr>
                <w:rFonts w:ascii="標楷體" w:hAnsi="標楷體" w:eastAsia="標楷體" w:cs="標楷體"/>
                <w:spacing w:val="-2"/>
                <w:szCs w:val="24"/>
              </w:rPr>
              <w:t>空間介紹、餐單介紹、服務內容、預定工作進</w:t>
            </w:r>
            <w:r>
              <w:rPr>
                <w:rFonts w:ascii="標楷體" w:hAnsi="標楷體" w:eastAsia="標楷體" w:cs="標楷體"/>
                <w:szCs w:val="24"/>
              </w:rPr>
              <w:t>度</w:t>
            </w:r>
            <w:r>
              <w:rPr>
                <w:rFonts w:ascii="標楷體" w:hAnsi="標楷體" w:eastAsia="標楷體" w:cs="標楷體"/>
                <w:spacing w:val="-120"/>
                <w:szCs w:val="24"/>
              </w:rPr>
              <w:t>）</w:t>
            </w:r>
            <w:r>
              <w:rPr>
                <w:rFonts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40</w:t>
            </w:r>
          </w:p>
        </w:tc>
      </w:tr>
      <w:tr>
        <w:tblPrEx>
          <w:tblLayout w:type="fixed"/>
          <w:tblCellMar>
            <w:top w:w="0" w:type="dxa"/>
            <w:left w:w="0" w:type="dxa"/>
            <w:bottom w:w="0" w:type="dxa"/>
            <w:right w:w="0" w:type="dxa"/>
          </w:tblCellMar>
        </w:tblPrEx>
        <w:trPr>
          <w:trHeight w:val="1380"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二</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szCs w:val="24"/>
              </w:rPr>
            </w:pPr>
            <w:r>
              <w:rPr>
                <w:rFonts w:ascii="標楷體" w:hAnsi="標楷體" w:eastAsia="標楷體" w:cs="標楷體"/>
                <w:spacing w:val="-1"/>
                <w:szCs w:val="24"/>
              </w:rPr>
              <w:t>廠商履約能力與經驗</w:t>
            </w:r>
            <w:r>
              <w:rPr>
                <w:rFonts w:ascii="標楷體" w:hAnsi="標楷體" w:eastAsia="標楷體"/>
                <w:spacing w:val="-1"/>
                <w:szCs w:val="24"/>
              </w:rPr>
              <w:t>(</w:t>
            </w:r>
            <w:r>
              <w:rPr>
                <w:rFonts w:ascii="標楷體" w:hAnsi="標楷體" w:eastAsia="標楷體" w:cs="標楷體"/>
                <w:spacing w:val="-1"/>
                <w:szCs w:val="24"/>
              </w:rPr>
              <w:t>含</w:t>
            </w:r>
            <w:r>
              <w:rPr>
                <w:rFonts w:ascii="標楷體" w:hAnsi="標楷體" w:eastAsia="標楷體" w:cs="標楷體"/>
                <w:szCs w:val="24"/>
              </w:rPr>
              <w:t>預定工作進度掌握</w:t>
            </w:r>
            <w:r>
              <w:rPr>
                <w:rFonts w:ascii="標楷體" w:hAnsi="標楷體" w:eastAsia="標楷體"/>
                <w:szCs w:val="24"/>
              </w:rPr>
              <w:t>)</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40" w:right="22" w:hanging="240" w:hangingChars="100"/>
              <w:jc w:val="both"/>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執行本案工作人員經驗、能力與專業性、配</w:t>
            </w:r>
            <w:r>
              <w:rPr>
                <w:rFonts w:hint="eastAsia" w:ascii="標楷體" w:hAnsi="標楷體" w:eastAsia="標楷體" w:cs="標楷體"/>
                <w:spacing w:val="-2"/>
                <w:szCs w:val="24"/>
              </w:rPr>
              <w:t>合</w:t>
            </w:r>
            <w:r>
              <w:rPr>
                <w:rFonts w:ascii="標楷體" w:hAnsi="標楷體" w:eastAsia="標楷體" w:cs="標楷體"/>
                <w:spacing w:val="-2"/>
                <w:szCs w:val="24"/>
              </w:rPr>
              <w:t>度，執行團隊之整合能力，過去執行相關案</w:t>
            </w:r>
            <w:r>
              <w:rPr>
                <w:rFonts w:ascii="標楷體" w:hAnsi="標楷體" w:eastAsia="標楷體" w:cs="標楷體"/>
                <w:szCs w:val="24"/>
              </w:rPr>
              <w:t>件實績等。</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執行整體計畫督導</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30</w:t>
            </w:r>
          </w:p>
        </w:tc>
      </w:tr>
      <w:tr>
        <w:tblPrEx>
          <w:tblLayout w:type="fixed"/>
          <w:tblCellMar>
            <w:top w:w="0" w:type="dxa"/>
            <w:left w:w="0" w:type="dxa"/>
            <w:bottom w:w="0" w:type="dxa"/>
            <w:right w:w="0" w:type="dxa"/>
          </w:tblCellMar>
        </w:tblPrEx>
        <w:trPr>
          <w:trHeight w:val="876"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三</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cs="標楷體"/>
                <w:color w:val="3333FF"/>
                <w:szCs w:val="24"/>
              </w:rPr>
              <w:t>價格合理性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標價合理性</w:t>
            </w:r>
            <w:r>
              <w:rPr>
                <w:rFonts w:hint="eastAsia" w:ascii="標楷體" w:hAnsi="標楷體" w:eastAsia="標楷體" w:cs="標楷體"/>
                <w:szCs w:val="24"/>
              </w:rPr>
              <w:t>。</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標價組成內容合理性</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20</w:t>
            </w:r>
          </w:p>
        </w:tc>
      </w:tr>
      <w:tr>
        <w:tblPrEx>
          <w:tblLayout w:type="fixed"/>
          <w:tblCellMar>
            <w:top w:w="0" w:type="dxa"/>
            <w:left w:w="0" w:type="dxa"/>
            <w:bottom w:w="0" w:type="dxa"/>
            <w:right w:w="0" w:type="dxa"/>
          </w:tblCellMar>
        </w:tblPrEx>
        <w:trPr>
          <w:trHeight w:val="729"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四</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kern w:val="0"/>
              </w:rPr>
              <w:t>簡報及答詢</w:t>
            </w:r>
          </w:p>
        </w:tc>
        <w:tc>
          <w:tcPr>
            <w:tcW w:w="5367"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rPr>
                <w:rFonts w:ascii="標楷體" w:hAnsi="標楷體" w:eastAsia="標楷體"/>
                <w:szCs w:val="24"/>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w:t>
            </w:r>
          </w:p>
        </w:tc>
      </w:tr>
      <w:tr>
        <w:tblPrEx>
          <w:tblLayout w:type="fixed"/>
          <w:tblCellMar>
            <w:top w:w="0" w:type="dxa"/>
            <w:left w:w="0" w:type="dxa"/>
            <w:bottom w:w="0" w:type="dxa"/>
            <w:right w:w="0" w:type="dxa"/>
          </w:tblCellMar>
        </w:tblPrEx>
        <w:trPr>
          <w:trHeight w:val="542" w:hRule="exact"/>
        </w:trPr>
        <w:tc>
          <w:tcPr>
            <w:tcW w:w="8395" w:type="dxa"/>
            <w:gridSpan w:val="3"/>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2"/>
              <w:jc w:val="center"/>
              <w:rPr>
                <w:rFonts w:ascii="標楷體" w:hAnsi="標楷體" w:eastAsia="標楷體" w:cs="標楷體"/>
                <w:szCs w:val="24"/>
              </w:rPr>
            </w:pPr>
            <w:r>
              <w:rPr>
                <w:rFonts w:ascii="標楷體" w:hAnsi="標楷體" w:eastAsia="標楷體" w:cs="標楷體"/>
                <w:szCs w:val="24"/>
              </w:rPr>
              <w:t>合計</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100</w:t>
            </w: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審項目之得分合計值較高者，優先議價；如配分最高之評審項目有兩項以上者，以該等項目得分合計值較高者，優先議價；得分仍相同者，就該等廠商再進行綜合評審一次，以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6560166"/>
      <w:bookmarkStart w:id="1" w:name="_Toc518894575"/>
      <w:bookmarkStart w:id="2" w:name="_Toc512179060"/>
      <w:bookmarkStart w:id="3" w:name="_Toc516659258"/>
      <w:bookmarkStart w:id="4" w:name="_Toc519651712"/>
      <w:bookmarkStart w:id="5" w:name="_Toc516549015"/>
      <w:bookmarkStart w:id="6" w:name="_Toc514153926"/>
      <w:bookmarkStart w:id="7" w:name="_Toc518894069"/>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w:t>
      </w:r>
      <w:r>
        <w:rPr>
          <w:rFonts w:hint="eastAsia" w:ascii="標楷體"/>
          <w:color w:val="3333FF"/>
        </w:rPr>
        <w:t>(</w:t>
      </w:r>
      <w:r>
        <w:rPr>
          <w:rFonts w:hint="eastAsia" w:ascii="標楷體"/>
          <w:color w:val="auto"/>
        </w:rPr>
        <w:t>02</w:t>
      </w:r>
      <w:r>
        <w:rPr>
          <w:rFonts w:hint="eastAsia" w:ascii="標楷體"/>
          <w:color w:val="3333FF"/>
        </w:rPr>
        <w:t>)</w:t>
      </w:r>
      <w:r>
        <w:rPr>
          <w:rFonts w:hint="eastAsia" w:ascii="標楷體"/>
          <w:color w:val="auto"/>
        </w:rPr>
        <w:t>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300" w:lineRule="auto"/>
        <w:ind w:left="1133" w:leftChars="117" w:right="667" w:rightChars="278" w:hanging="852" w:hangingChars="355"/>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2026年亞洲聯盟盃橄欖球錦標賽-參賽膳宿採購案(案號：11500</w:t>
      </w:r>
      <w:r>
        <w:rPr>
          <w:rFonts w:hint="eastAsia" w:ascii="標楷體" w:hAnsi="標楷體" w:eastAsia="標楷體"/>
          <w:b/>
          <w:sz w:val="28"/>
          <w:szCs w:val="28"/>
          <w:lang w:val="en-US" w:eastAsia="zh-TW"/>
        </w:rPr>
        <w:t>3</w:t>
      </w:r>
      <w:r>
        <w:rPr>
          <w:rFonts w:hint="eastAsia" w:ascii="標楷體" w:hAnsi="標楷體" w:eastAsia="標楷體"/>
          <w:b/>
          <w:sz w:val="28"/>
          <w:szCs w:val="28"/>
        </w:rPr>
        <w:t>)</w:t>
      </w:r>
      <w:r>
        <w:rPr>
          <w:rFonts w:hint="eastAsia" w:ascii="標楷體" w:hAnsi="標楷體" w:eastAsia="標楷體"/>
          <w:b/>
          <w:bCs/>
          <w:sz w:val="28"/>
          <w:szCs w:val="28"/>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23"/>
        <w:tblpPr w:leftFromText="180" w:rightFromText="180" w:vertAnchor="text" w:horzAnchor="page" w:tblpX="1398" w:tblpY="482"/>
        <w:tblOverlap w:val="never"/>
        <w:tblW w:w="9620" w:type="dxa"/>
        <w:tblInd w:w="0" w:type="dxa"/>
        <w:tblLayout w:type="fixed"/>
        <w:tblCellMar>
          <w:top w:w="0" w:type="dxa"/>
          <w:left w:w="0" w:type="dxa"/>
          <w:bottom w:w="0" w:type="dxa"/>
          <w:right w:w="0" w:type="dxa"/>
        </w:tblCellMar>
      </w:tblPr>
      <w:tblGrid>
        <w:gridCol w:w="3507"/>
        <w:gridCol w:w="1080"/>
        <w:gridCol w:w="1258"/>
        <w:gridCol w:w="1258"/>
        <w:gridCol w:w="1259"/>
        <w:gridCol w:w="1258"/>
      </w:tblGrid>
      <w:tr>
        <w:tblPrEx>
          <w:tblLayout w:type="fixed"/>
          <w:tblCellMar>
            <w:top w:w="0" w:type="dxa"/>
            <w:left w:w="0" w:type="dxa"/>
            <w:bottom w:w="0" w:type="dxa"/>
            <w:right w:w="0" w:type="dxa"/>
          </w:tblCellMar>
        </w:tblPrEx>
        <w:trPr>
          <w:trHeight w:val="488" w:hRule="exact"/>
        </w:trPr>
        <w:tc>
          <w:tcPr>
            <w:tcW w:w="3507" w:type="dxa"/>
            <w:vMerge w:val="restart"/>
            <w:tcBorders>
              <w:top w:val="single" w:color="000000" w:sz="6" w:space="0"/>
              <w:left w:val="single" w:color="000000" w:sz="6"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委員編號：</w:t>
            </w:r>
          </w:p>
        </w:tc>
        <w:tc>
          <w:tcPr>
            <w:tcW w:w="1080" w:type="dxa"/>
            <w:vMerge w:val="restart"/>
            <w:tcBorders>
              <w:top w:val="single" w:color="000000" w:sz="6" w:space="0"/>
              <w:left w:val="single" w:color="000000" w:sz="6" w:space="0"/>
              <w:right w:val="single" w:color="000000" w:sz="6" w:space="0"/>
            </w:tcBorders>
            <w:vAlign w:val="center"/>
          </w:tcPr>
          <w:p>
            <w:pPr>
              <w:pStyle w:val="22"/>
              <w:ind w:left="75"/>
              <w:jc w:val="center"/>
              <w:rPr>
                <w:rFonts w:ascii="標楷體" w:hAnsi="標楷體" w:eastAsia="標楷體" w:cs="標楷體"/>
                <w:szCs w:val="24"/>
              </w:rPr>
            </w:pPr>
            <w:r>
              <w:rPr>
                <w:rFonts w:ascii="標楷體" w:hAnsi="標楷體" w:eastAsia="標楷體" w:cs="標楷體"/>
                <w:szCs w:val="24"/>
              </w:rPr>
              <w:t>投標廠商</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1</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2</w:t>
            </w:r>
          </w:p>
        </w:tc>
        <w:tc>
          <w:tcPr>
            <w:tcW w:w="1259"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right="1"/>
              <w:jc w:val="center"/>
              <w:rPr>
                <w:rFonts w:ascii="標楷體" w:hAnsi="標楷體" w:eastAsia="標楷體"/>
                <w:szCs w:val="24"/>
              </w:rPr>
            </w:pPr>
            <w:r>
              <w:rPr>
                <w:rFonts w:ascii="標楷體" w:hAnsi="標楷體" w:eastAsia="標楷體"/>
              </w:rPr>
              <w:t>3</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4</w:t>
            </w:r>
          </w:p>
        </w:tc>
      </w:tr>
      <w:tr>
        <w:tblPrEx>
          <w:tblLayout w:type="fixed"/>
          <w:tblCellMar>
            <w:top w:w="0" w:type="dxa"/>
            <w:left w:w="0" w:type="dxa"/>
            <w:bottom w:w="0" w:type="dxa"/>
            <w:right w:w="0" w:type="dxa"/>
          </w:tblCellMar>
        </w:tblPrEx>
        <w:trPr>
          <w:trHeight w:val="494" w:hRule="exact"/>
        </w:trPr>
        <w:tc>
          <w:tcPr>
            <w:tcW w:w="3507" w:type="dxa"/>
            <w:vMerge w:val="continue"/>
            <w:tcBorders>
              <w:left w:val="single" w:color="000000" w:sz="6" w:space="0"/>
              <w:bottom w:val="single" w:color="000000" w:sz="6" w:space="0"/>
              <w:right w:val="single" w:color="000000" w:sz="6" w:space="0"/>
            </w:tcBorders>
          </w:tcPr>
          <w:p>
            <w:pPr>
              <w:rPr>
                <w:rFonts w:ascii="標楷體" w:hAnsi="標楷體" w:eastAsia="標楷體"/>
              </w:rPr>
            </w:pPr>
          </w:p>
        </w:tc>
        <w:tc>
          <w:tcPr>
            <w:tcW w:w="1080" w:type="dxa"/>
            <w:vMerge w:val="continue"/>
            <w:tcBorders>
              <w:left w:val="single" w:color="000000" w:sz="6" w:space="0"/>
              <w:bottom w:val="single" w:color="000000" w:sz="4" w:space="0"/>
              <w:right w:val="single" w:color="000000" w:sz="6" w:space="0"/>
            </w:tcBorders>
          </w:tcPr>
          <w:p>
            <w:pPr>
              <w:rPr>
                <w:rFonts w:ascii="標楷體" w:hAnsi="標楷體" w:eastAsia="標楷體"/>
              </w:rPr>
            </w:pP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76"/>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40"/>
              <w:rPr>
                <w:rFonts w:ascii="標楷體" w:hAnsi="標楷體" w:eastAsia="標楷體" w:cs="標楷體"/>
                <w:szCs w:val="24"/>
              </w:rPr>
            </w:pPr>
            <w:r>
              <w:rPr>
                <w:rFonts w:ascii="標楷體" w:hAnsi="標楷體" w:eastAsia="標楷體" w:cs="標楷體"/>
                <w:szCs w:val="24"/>
              </w:rPr>
              <w:t>廠商名稱</w:t>
            </w:r>
          </w:p>
        </w:tc>
        <w:tc>
          <w:tcPr>
            <w:tcW w:w="1259" w:type="dxa"/>
            <w:tcBorders>
              <w:top w:val="single" w:color="000000" w:sz="6" w:space="0"/>
              <w:left w:val="single" w:color="000000" w:sz="6" w:space="0"/>
              <w:bottom w:val="single" w:color="auto" w:sz="12" w:space="0"/>
              <w:right w:val="single" w:color="000000" w:sz="6" w:space="0"/>
            </w:tcBorders>
          </w:tcPr>
          <w:p>
            <w:pPr>
              <w:pStyle w:val="22"/>
              <w:spacing w:before="31"/>
              <w:ind w:left="138"/>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97"/>
              <w:rPr>
                <w:rFonts w:ascii="標楷體" w:hAnsi="標楷體" w:eastAsia="標楷體" w:cs="標楷體"/>
                <w:szCs w:val="24"/>
              </w:rPr>
            </w:pPr>
            <w:r>
              <w:rPr>
                <w:rFonts w:ascii="標楷體" w:hAnsi="標楷體" w:eastAsia="標楷體" w:cs="標楷體"/>
                <w:szCs w:val="24"/>
              </w:rPr>
              <w:t>廠商名稱</w:t>
            </w:r>
          </w:p>
        </w:tc>
      </w:tr>
      <w:tr>
        <w:tblPrEx>
          <w:tblLayout w:type="fixed"/>
          <w:tblCellMar>
            <w:top w:w="0" w:type="dxa"/>
            <w:left w:w="0" w:type="dxa"/>
            <w:bottom w:w="0" w:type="dxa"/>
            <w:right w:w="0" w:type="dxa"/>
          </w:tblCellMar>
        </w:tblPrEx>
        <w:trPr>
          <w:trHeight w:val="357" w:hRule="exact"/>
        </w:trPr>
        <w:tc>
          <w:tcPr>
            <w:tcW w:w="3507" w:type="dxa"/>
            <w:tcBorders>
              <w:top w:val="single" w:color="000000" w:sz="6" w:space="0"/>
              <w:left w:val="single" w:color="000000" w:sz="6" w:space="0"/>
              <w:bottom w:val="single" w:color="000000" w:sz="6" w:space="0"/>
              <w:right w:val="single" w:color="000000" w:sz="6" w:space="0"/>
            </w:tcBorders>
          </w:tcPr>
          <w:p>
            <w:pPr>
              <w:pStyle w:val="22"/>
              <w:spacing w:line="308" w:lineRule="exact"/>
              <w:jc w:val="center"/>
              <w:rPr>
                <w:rFonts w:ascii="標楷體" w:hAnsi="標楷體" w:eastAsia="標楷體" w:cs="標楷體"/>
                <w:szCs w:val="24"/>
              </w:rPr>
            </w:pPr>
            <w:r>
              <w:rPr>
                <w:rFonts w:ascii="標楷體" w:hAnsi="標楷體" w:eastAsia="標楷體" w:cs="標楷體"/>
                <w:color w:val="3333FF"/>
                <w:szCs w:val="24"/>
              </w:rPr>
              <w:t>評</w:t>
            </w:r>
            <w:r>
              <w:rPr>
                <w:rFonts w:hint="eastAsia" w:ascii="標楷體" w:hAnsi="標楷體" w:eastAsia="標楷體" w:cs="標楷體"/>
                <w:color w:val="3333FF"/>
                <w:szCs w:val="24"/>
              </w:rPr>
              <w:t>審</w:t>
            </w:r>
            <w:r>
              <w:rPr>
                <w:rFonts w:ascii="標楷體" w:hAnsi="標楷體" w:eastAsia="標楷體" w:cs="標楷體"/>
                <w:szCs w:val="24"/>
              </w:rPr>
              <w:t>項目</w:t>
            </w:r>
          </w:p>
        </w:tc>
        <w:tc>
          <w:tcPr>
            <w:tcW w:w="1080" w:type="dxa"/>
            <w:tcBorders>
              <w:top w:val="single" w:color="000000" w:sz="4" w:space="0"/>
              <w:left w:val="single" w:color="000000" w:sz="6" w:space="0"/>
              <w:bottom w:val="single" w:color="000000" w:sz="6" w:space="0"/>
              <w:right w:val="single" w:color="auto" w:sz="12" w:space="0"/>
            </w:tcBorders>
          </w:tcPr>
          <w:p>
            <w:pPr>
              <w:pStyle w:val="22"/>
              <w:spacing w:line="284" w:lineRule="exact"/>
              <w:ind w:left="315"/>
              <w:rPr>
                <w:rFonts w:ascii="標楷體" w:hAnsi="標楷體" w:eastAsia="標楷體" w:cs="標楷體"/>
                <w:szCs w:val="24"/>
              </w:rPr>
            </w:pPr>
            <w:r>
              <w:rPr>
                <w:rFonts w:ascii="標楷體" w:hAnsi="標楷體" w:eastAsia="標楷體" w:cs="標楷體"/>
                <w:szCs w:val="24"/>
              </w:rPr>
              <w:t>配分</w:t>
            </w:r>
          </w:p>
        </w:tc>
        <w:tc>
          <w:tcPr>
            <w:tcW w:w="1258" w:type="dxa"/>
            <w:tcBorders>
              <w:top w:val="single" w:color="auto" w:sz="12" w:space="0"/>
              <w:left w:val="single" w:color="auto" w:sz="12" w:space="0"/>
              <w:bottom w:val="single" w:color="auto" w:sz="4" w:space="0"/>
              <w:right w:val="single" w:color="auto" w:sz="4" w:space="0"/>
            </w:tcBorders>
          </w:tcPr>
          <w:p>
            <w:pPr>
              <w:pStyle w:val="22"/>
              <w:spacing w:line="304" w:lineRule="exact"/>
              <w:ind w:right="5"/>
              <w:jc w:val="center"/>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9"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18"/>
              <w:rPr>
                <w:rFonts w:ascii="標楷體" w:hAnsi="標楷體" w:eastAsia="標楷體" w:cs="標楷體"/>
                <w:szCs w:val="24"/>
              </w:rPr>
            </w:pPr>
            <w:r>
              <w:rPr>
                <w:rFonts w:ascii="標楷體" w:hAnsi="標楷體" w:eastAsia="標楷體" w:cs="標楷體"/>
                <w:szCs w:val="24"/>
              </w:rPr>
              <w:t>得分</w:t>
            </w:r>
          </w:p>
        </w:tc>
      </w:tr>
      <w:tr>
        <w:tblPrEx>
          <w:tblLayout w:type="fixed"/>
          <w:tblCellMar>
            <w:top w:w="0" w:type="dxa"/>
            <w:left w:w="0" w:type="dxa"/>
            <w:bottom w:w="0" w:type="dxa"/>
            <w:right w:w="0" w:type="dxa"/>
          </w:tblCellMar>
        </w:tblPrEx>
        <w:trPr>
          <w:trHeight w:val="1191"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80" w:lineRule="exact"/>
              <w:ind w:left="18"/>
              <w:jc w:val="both"/>
              <w:rPr>
                <w:rFonts w:ascii="標楷體" w:hAnsi="標楷體" w:eastAsia="標楷體" w:cs="標楷體"/>
                <w:szCs w:val="24"/>
              </w:rPr>
            </w:pPr>
            <w:r>
              <w:rPr>
                <w:rFonts w:ascii="標楷體" w:hAnsi="標楷體" w:eastAsia="標楷體" w:cs="標楷體"/>
                <w:szCs w:val="24"/>
              </w:rPr>
              <w:t>一、</w:t>
            </w:r>
            <w:r>
              <w:rPr>
                <w:rFonts w:hint="eastAsia" w:ascii="標楷體" w:hAnsi="標楷體" w:eastAsia="標楷體" w:cs="標楷體"/>
                <w:color w:val="3333FF"/>
                <w:szCs w:val="24"/>
              </w:rPr>
              <w:t>企劃</w:t>
            </w:r>
            <w:r>
              <w:rPr>
                <w:rFonts w:ascii="標楷體" w:hAnsi="標楷體" w:eastAsia="標楷體" w:cs="標楷體"/>
                <w:color w:val="3333FF"/>
                <w:szCs w:val="24"/>
              </w:rPr>
              <w:t>書</w:t>
            </w:r>
            <w:r>
              <w:rPr>
                <w:rFonts w:ascii="標楷體" w:hAnsi="標楷體" w:eastAsia="標楷體" w:cs="標楷體"/>
                <w:szCs w:val="24"/>
              </w:rPr>
              <w:t>內容之適當性</w:t>
            </w:r>
          </w:p>
          <w:p>
            <w:pPr>
              <w:pStyle w:val="22"/>
              <w:spacing w:after="0" w:line="240" w:lineRule="exact"/>
              <w:ind w:left="17"/>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飯店介紹</w:t>
            </w:r>
          </w:p>
          <w:p>
            <w:pPr>
              <w:pStyle w:val="22"/>
              <w:spacing w:after="0" w:line="220" w:lineRule="exact"/>
              <w:ind w:left="259" w:leftChars="7" w:right="23" w:hanging="242" w:hangingChars="121"/>
              <w:jc w:val="both"/>
              <w:rPr>
                <w:rFonts w:ascii="標楷體" w:hAnsi="標楷體" w:eastAsia="標楷體" w:cs="標楷體"/>
                <w:sz w:val="20"/>
              </w:rPr>
            </w:pPr>
            <w:r>
              <w:rPr>
                <w:rFonts w:ascii="標楷體" w:hAnsi="標楷體" w:eastAsia="標楷體" w:cs="標楷體"/>
                <w:sz w:val="20"/>
              </w:rPr>
              <w:t>2.計畫內容（含房型數量配置、樓層分配、各空間介紹、餐單介紹、服務內容、預定工作進度）。</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40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929"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498" w:hanging="480"/>
              <w:jc w:val="both"/>
              <w:rPr>
                <w:rFonts w:ascii="標楷體" w:hAnsi="標楷體" w:eastAsia="標楷體"/>
                <w:szCs w:val="24"/>
              </w:rPr>
            </w:pPr>
            <w:r>
              <w:rPr>
                <w:rFonts w:ascii="標楷體" w:hAnsi="標楷體" w:eastAsia="標楷體" w:cs="標楷體"/>
                <w:spacing w:val="-1"/>
                <w:szCs w:val="24"/>
              </w:rPr>
              <w:t>二、廠商履約能力與經驗</w:t>
            </w:r>
            <w:r>
              <w:rPr>
                <w:rFonts w:ascii="標楷體" w:hAnsi="標楷體" w:eastAsia="標楷體"/>
                <w:spacing w:val="-1"/>
                <w:szCs w:val="24"/>
              </w:rPr>
              <w:t>(</w:t>
            </w:r>
            <w:r>
              <w:rPr>
                <w:rFonts w:ascii="標楷體" w:hAnsi="標楷體" w:eastAsia="標楷體" w:cs="標楷體"/>
                <w:spacing w:val="-1"/>
                <w:szCs w:val="24"/>
              </w:rPr>
              <w:t>含預定工</w:t>
            </w:r>
            <w:r>
              <w:rPr>
                <w:rFonts w:ascii="標楷體" w:hAnsi="標楷體" w:eastAsia="標楷體" w:cs="標楷體"/>
                <w:szCs w:val="24"/>
              </w:rPr>
              <w:t>作進度掌握</w:t>
            </w:r>
            <w:r>
              <w:rPr>
                <w:rFonts w:ascii="標楷體" w:hAnsi="標楷體" w:eastAsia="標楷體"/>
                <w:szCs w:val="24"/>
              </w:rPr>
              <w:t>)</w:t>
            </w:r>
          </w:p>
          <w:p>
            <w:pPr>
              <w:pStyle w:val="22"/>
              <w:spacing w:after="0" w:line="220" w:lineRule="exact"/>
              <w:ind w:right="-9"/>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執行本案工作人員經驗、能力與專業性、</w:t>
            </w:r>
            <w:r>
              <w:rPr>
                <w:rFonts w:ascii="標楷體" w:hAnsi="標楷體" w:eastAsia="標楷體" w:cs="標楷體"/>
                <w:w w:val="95"/>
                <w:sz w:val="20"/>
              </w:rPr>
              <w:t>配合度，執行團隊之整合能力，過去行</w:t>
            </w:r>
            <w:r>
              <w:rPr>
                <w:rFonts w:hint="eastAsia" w:ascii="標楷體" w:hAnsi="標楷體" w:eastAsia="標楷體" w:cs="標楷體"/>
                <w:w w:val="95"/>
                <w:sz w:val="20"/>
              </w:rPr>
              <w:t>業</w:t>
            </w:r>
            <w:r>
              <w:rPr>
                <w:rFonts w:ascii="標楷體" w:hAnsi="標楷體" w:eastAsia="標楷體" w:cs="標楷體"/>
                <w:sz w:val="20"/>
              </w:rPr>
              <w:t>相關案件實績等。</w:t>
            </w:r>
          </w:p>
          <w:p>
            <w:pPr>
              <w:pStyle w:val="22"/>
              <w:spacing w:after="0" w:line="220" w:lineRule="exact"/>
              <w:ind w:left="18"/>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執行整體計畫督導</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30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838"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18"/>
              <w:jc w:val="both"/>
              <w:rPr>
                <w:rFonts w:ascii="標楷體" w:hAnsi="標楷體" w:eastAsia="標楷體" w:cs="標楷體"/>
                <w:szCs w:val="24"/>
              </w:rPr>
            </w:pPr>
            <w:r>
              <w:rPr>
                <w:rFonts w:ascii="標楷體" w:hAnsi="標楷體" w:eastAsia="標楷體" w:cs="標楷體"/>
                <w:szCs w:val="24"/>
              </w:rPr>
              <w:t>三、</w:t>
            </w:r>
            <w:r>
              <w:rPr>
                <w:rFonts w:ascii="標楷體" w:hAnsi="標楷體" w:eastAsia="標楷體" w:cs="標楷體"/>
                <w:color w:val="3333FF"/>
                <w:szCs w:val="24"/>
              </w:rPr>
              <w:t>價格合理性</w:t>
            </w:r>
          </w:p>
          <w:p>
            <w:pPr>
              <w:pStyle w:val="22"/>
              <w:spacing w:after="0" w:line="220" w:lineRule="exact"/>
              <w:ind w:left="17"/>
              <w:jc w:val="both"/>
              <w:rPr>
                <w:rFonts w:ascii="標楷體" w:hAnsi="標楷體" w:eastAsia="標楷體" w:cs="標楷體"/>
                <w:sz w:val="14"/>
                <w:szCs w:val="14"/>
              </w:rPr>
            </w:pPr>
            <w:r>
              <w:rPr>
                <w:rFonts w:ascii="標楷體" w:hAnsi="標楷體" w:eastAsia="標楷體"/>
                <w:sz w:val="20"/>
              </w:rPr>
              <w:t>1.</w:t>
            </w:r>
            <w:r>
              <w:rPr>
                <w:rFonts w:ascii="標楷體" w:hAnsi="標楷體" w:eastAsia="標楷體" w:cs="標楷體"/>
                <w:sz w:val="20"/>
              </w:rPr>
              <w:t>標價合理性</w:t>
            </w:r>
          </w:p>
          <w:p>
            <w:pPr>
              <w:pStyle w:val="22"/>
              <w:spacing w:after="0" w:line="220" w:lineRule="exact"/>
              <w:ind w:left="17"/>
              <w:jc w:val="both"/>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標價組成內容合理性</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20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25" w:hRule="exact"/>
        </w:trPr>
        <w:tc>
          <w:tcPr>
            <w:tcW w:w="3507" w:type="dxa"/>
            <w:tcBorders>
              <w:top w:val="single" w:color="000000" w:sz="6" w:space="0"/>
              <w:left w:val="single" w:color="000000" w:sz="6" w:space="0"/>
              <w:bottom w:val="single" w:color="auto" w:sz="4"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szCs w:val="24"/>
              </w:rPr>
              <w:t>四、</w:t>
            </w:r>
            <w:r>
              <w:rPr>
                <w:rFonts w:hint="eastAsia" w:ascii="標楷體" w:hAnsi="標楷體" w:eastAsia="標楷體"/>
                <w:kern w:val="0"/>
              </w:rPr>
              <w:t>簡報及答詢</w:t>
            </w:r>
          </w:p>
        </w:tc>
        <w:tc>
          <w:tcPr>
            <w:tcW w:w="1080" w:type="dxa"/>
            <w:tcBorders>
              <w:top w:val="single" w:color="000000" w:sz="6" w:space="0"/>
              <w:left w:val="single" w:color="000000" w:sz="6" w:space="0"/>
              <w:bottom w:val="single" w:color="auto" w:sz="4"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10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shd w:val="clear" w:color="auto" w:fill="DFDFDF"/>
            <w:vAlign w:val="center"/>
          </w:tcPr>
          <w:p>
            <w:pPr>
              <w:pStyle w:val="22"/>
              <w:spacing w:before="89"/>
              <w:ind w:right="5"/>
              <w:jc w:val="center"/>
              <w:rPr>
                <w:rFonts w:ascii="標楷體" w:hAnsi="標楷體" w:eastAsia="標楷體" w:cs="標楷體"/>
                <w:sz w:val="26"/>
                <w:szCs w:val="26"/>
              </w:rPr>
            </w:pPr>
            <w:r>
              <w:rPr>
                <w:rFonts w:ascii="標楷體" w:hAnsi="標楷體" w:eastAsia="標楷體" w:cs="標楷體"/>
                <w:sz w:val="26"/>
                <w:szCs w:val="26"/>
              </w:rPr>
              <w:t>評分合計</w:t>
            </w:r>
          </w:p>
        </w:tc>
        <w:tc>
          <w:tcPr>
            <w:tcW w:w="1080" w:type="dxa"/>
            <w:tcBorders>
              <w:top w:val="single" w:color="auto" w:sz="4" w:space="0"/>
              <w:left w:val="single" w:color="auto" w:sz="4" w:space="0"/>
              <w:bottom w:val="single" w:color="auto" w:sz="4" w:space="0"/>
              <w:right w:val="single" w:color="auto" w:sz="12" w:space="0"/>
            </w:tcBorders>
            <w:shd w:val="clear" w:color="auto" w:fill="DFDFDF"/>
            <w:vAlign w:val="center"/>
          </w:tcPr>
          <w:p>
            <w:pPr>
              <w:pStyle w:val="22"/>
              <w:spacing w:before="104"/>
              <w:ind w:left="226"/>
              <w:jc w:val="center"/>
              <w:rPr>
                <w:rFonts w:ascii="標楷體" w:hAnsi="標楷體" w:eastAsia="標楷體" w:cs="標楷體"/>
                <w:szCs w:val="24"/>
              </w:rPr>
            </w:pPr>
            <w:r>
              <w:rPr>
                <w:rFonts w:ascii="標楷體" w:hAnsi="標楷體" w:eastAsia="標楷體"/>
                <w:szCs w:val="24"/>
              </w:rPr>
              <w:t xml:space="preserve">100 </w:t>
            </w:r>
            <w:r>
              <w:rPr>
                <w:rFonts w:ascii="標楷體" w:hAnsi="標楷體" w:eastAsia="標楷體" w:cs="標楷體"/>
                <w:szCs w:val="24"/>
              </w:rPr>
              <w:t>分</w:t>
            </w:r>
          </w:p>
        </w:tc>
        <w:tc>
          <w:tcPr>
            <w:tcW w:w="1258" w:type="dxa"/>
            <w:tcBorders>
              <w:top w:val="single" w:color="auto" w:sz="4" w:space="0"/>
              <w:left w:val="single" w:color="auto" w:sz="12"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before="65"/>
              <w:ind w:left="1271"/>
              <w:rPr>
                <w:rFonts w:ascii="標楷體" w:hAnsi="標楷體" w:eastAsia="標楷體" w:cs="標楷體"/>
                <w:sz w:val="26"/>
                <w:szCs w:val="26"/>
              </w:rPr>
            </w:pPr>
            <w:r>
              <w:rPr>
                <w:rFonts w:ascii="標楷體" w:hAnsi="標楷體" w:eastAsia="標楷體" w:cs="標楷體"/>
                <w:spacing w:val="-1"/>
                <w:sz w:val="26"/>
                <w:szCs w:val="26"/>
              </w:rPr>
              <w:t>轉換為序位</w:t>
            </w:r>
          </w:p>
        </w:tc>
        <w:tc>
          <w:tcPr>
            <w:tcW w:w="1080" w:type="dxa"/>
            <w:tcBorders>
              <w:top w:val="single" w:color="auto" w:sz="4" w:space="0"/>
              <w:left w:val="single" w:color="auto" w:sz="4" w:space="0"/>
              <w:bottom w:val="single" w:color="auto" w:sz="4" w:space="0"/>
              <w:right w:val="single" w:color="auto" w:sz="12" w:space="0"/>
              <w:tr2bl w:val="single" w:color="auto" w:sz="8" w:space="0"/>
            </w:tcBorders>
          </w:tcPr>
          <w:p>
            <w:pPr>
              <w:rPr>
                <w:rFonts w:ascii="標楷體" w:hAnsi="標楷體" w:eastAsia="標楷體"/>
              </w:rPr>
            </w:pP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670" w:hRule="exac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line="253" w:lineRule="exact"/>
              <w:jc w:val="center"/>
              <w:rPr>
                <w:rFonts w:ascii="標楷體" w:hAnsi="標楷體" w:eastAsia="標楷體" w:cs="標楷體"/>
                <w:sz w:val="26"/>
                <w:szCs w:val="26"/>
              </w:rPr>
            </w:pPr>
            <w:r>
              <w:rPr>
                <w:rFonts w:ascii="標楷體" w:hAnsi="標楷體" w:eastAsia="標楷體" w:cs="標楷體"/>
                <w:sz w:val="26"/>
                <w:szCs w:val="26"/>
              </w:rPr>
              <w:t>意見</w:t>
            </w:r>
          </w:p>
        </w:tc>
        <w:tc>
          <w:tcPr>
            <w:tcW w:w="6113" w:type="dxa"/>
            <w:gridSpan w:val="5"/>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293" w:hRule="exact"/>
        </w:trPr>
        <w:tc>
          <w:tcPr>
            <w:tcW w:w="9620" w:type="dxa"/>
            <w:gridSpan w:val="6"/>
            <w:tcBorders>
              <w:top w:val="single" w:color="auto" w:sz="4" w:space="0"/>
              <w:left w:val="single" w:color="auto" w:sz="4" w:space="0"/>
              <w:bottom w:val="single" w:color="auto" w:sz="4" w:space="0"/>
              <w:right w:val="single" w:color="auto" w:sz="4" w:space="0"/>
            </w:tcBorders>
            <w:vAlign w:val="center"/>
          </w:tcPr>
          <w:p>
            <w:pPr>
              <w:spacing w:after="0" w:line="260" w:lineRule="exact"/>
              <w:rPr>
                <w:rFonts w:ascii="標楷體" w:hAnsi="標楷體" w:eastAsia="標楷體"/>
              </w:rPr>
            </w:pPr>
            <w:r>
              <w:rPr>
                <w:rFonts w:hint="eastAsia" w:ascii="標楷體" w:hAnsi="標楷體" w:eastAsia="標楷體"/>
              </w:rPr>
              <w:t>注意事項：</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1.</w:t>
            </w:r>
            <w:r>
              <w:rPr>
                <w:rFonts w:ascii="標楷體" w:hAnsi="標楷體" w:eastAsia="標楷體" w:cs="標楷體"/>
                <w:position w:val="1"/>
                <w:szCs w:val="24"/>
              </w:rPr>
              <w:t>如有不同廠商之總分數相同致相同序位者，例如第</w:t>
            </w:r>
            <w:r>
              <w:rPr>
                <w:rFonts w:ascii="標楷體" w:hAnsi="標楷體" w:eastAsia="標楷體" w:cs="標楷體"/>
                <w:spacing w:val="-59"/>
                <w:position w:val="1"/>
                <w:szCs w:val="24"/>
              </w:rPr>
              <w:t xml:space="preserve"> </w:t>
            </w:r>
            <w:r>
              <w:rPr>
                <w:rFonts w:eastAsia="Times New Roman"/>
                <w:szCs w:val="24"/>
              </w:rPr>
              <w:t xml:space="preserve">2 </w:t>
            </w:r>
            <w:r>
              <w:rPr>
                <w:rFonts w:ascii="標楷體" w:hAnsi="標楷體" w:eastAsia="標楷體" w:cs="標楷體"/>
                <w:position w:val="1"/>
                <w:szCs w:val="24"/>
              </w:rPr>
              <w:t>名有</w:t>
            </w:r>
            <w:r>
              <w:rPr>
                <w:rFonts w:ascii="標楷體" w:hAnsi="標楷體" w:eastAsia="標楷體" w:cs="標楷體"/>
                <w:spacing w:val="-60"/>
                <w:position w:val="1"/>
                <w:szCs w:val="24"/>
              </w:rPr>
              <w:t xml:space="preserve"> </w:t>
            </w:r>
            <w:r>
              <w:rPr>
                <w:rFonts w:eastAsia="Times New Roman"/>
                <w:szCs w:val="24"/>
              </w:rPr>
              <w:t xml:space="preserve">2 </w:t>
            </w:r>
            <w:r>
              <w:rPr>
                <w:rFonts w:ascii="標楷體" w:hAnsi="標楷體" w:eastAsia="標楷體" w:cs="標楷體"/>
                <w:position w:val="1"/>
                <w:szCs w:val="24"/>
              </w:rPr>
              <w:t>家，其接續之其他廠商序位以「</w:t>
            </w:r>
            <w:r>
              <w:rPr>
                <w:rFonts w:eastAsia="Times New Roman"/>
                <w:szCs w:val="24"/>
              </w:rPr>
              <w:t>1</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4</w:t>
            </w:r>
            <w:r>
              <w:rPr>
                <w:rFonts w:ascii="標楷體" w:hAnsi="標楷體" w:eastAsia="標楷體" w:cs="標楷體"/>
                <w:position w:val="1"/>
                <w:szCs w:val="24"/>
              </w:rPr>
              <w:t>、</w:t>
            </w:r>
            <w:r>
              <w:rPr>
                <w:rFonts w:eastAsia="Times New Roman"/>
                <w:szCs w:val="24"/>
              </w:rPr>
              <w:t>5</w:t>
            </w:r>
            <w:r>
              <w:rPr>
                <w:rFonts w:ascii="標楷體" w:hAnsi="標楷體" w:eastAsia="標楷體" w:cs="標楷體"/>
                <w:position w:val="1"/>
                <w:szCs w:val="24"/>
              </w:rPr>
              <w:t>」表示</w:t>
            </w:r>
            <w:r>
              <w:rPr>
                <w:rFonts w:hint="eastAsia" w:ascii="標楷體" w:hAnsi="標楷體" w:eastAsia="標楷體" w:cs="標楷體"/>
                <w:position w:val="1"/>
                <w:szCs w:val="24"/>
              </w:rPr>
              <w:t>。</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2.</w:t>
            </w:r>
            <w:r>
              <w:rPr>
                <w:rFonts w:ascii="標楷體" w:hAnsi="標楷體" w:eastAsia="標楷體" w:cs="標楷體"/>
                <w:position w:val="1"/>
                <w:szCs w:val="24"/>
              </w:rPr>
              <w:t>若得分加總低於</w:t>
            </w:r>
            <w:r>
              <w:rPr>
                <w:rFonts w:ascii="標楷體" w:hAnsi="標楷體" w:eastAsia="標楷體" w:cs="標楷體"/>
                <w:spacing w:val="-60"/>
                <w:position w:val="1"/>
                <w:szCs w:val="24"/>
              </w:rPr>
              <w:t xml:space="preserve"> </w:t>
            </w:r>
            <w:r>
              <w:rPr>
                <w:rFonts w:eastAsia="Times New Roman"/>
                <w:szCs w:val="24"/>
              </w:rPr>
              <w:t xml:space="preserve">70 </w:t>
            </w:r>
            <w:r>
              <w:rPr>
                <w:rFonts w:ascii="標楷體" w:hAnsi="標楷體" w:eastAsia="標楷體" w:cs="標楷體"/>
                <w:position w:val="1"/>
                <w:szCs w:val="24"/>
              </w:rPr>
              <w:t>分或高於</w:t>
            </w:r>
            <w:r>
              <w:rPr>
                <w:rFonts w:ascii="標楷體" w:hAnsi="標楷體" w:eastAsia="標楷體" w:cs="標楷體"/>
                <w:spacing w:val="-60"/>
                <w:position w:val="1"/>
                <w:szCs w:val="24"/>
              </w:rPr>
              <w:t xml:space="preserve"> </w:t>
            </w:r>
            <w:r>
              <w:rPr>
                <w:rFonts w:eastAsia="Times New Roman"/>
                <w:szCs w:val="24"/>
              </w:rPr>
              <w:t xml:space="preserve">90 </w:t>
            </w:r>
            <w:r>
              <w:rPr>
                <w:rFonts w:ascii="標楷體" w:hAnsi="標楷體" w:eastAsia="標楷體" w:cs="標楷體"/>
                <w:position w:val="1"/>
                <w:szCs w:val="24"/>
              </w:rPr>
              <w:t>分，請於意見欄補充說明</w:t>
            </w:r>
            <w:r>
              <w:rPr>
                <w:rFonts w:hint="eastAsia" w:ascii="標楷體" w:hAnsi="標楷體" w:eastAsia="標楷體" w:cs="標楷體"/>
                <w:position w:val="1"/>
                <w:szCs w:val="24"/>
              </w:rPr>
              <w:t>。</w:t>
            </w:r>
          </w:p>
          <w:p>
            <w:pPr>
              <w:spacing w:after="0" w:line="260" w:lineRule="exact"/>
              <w:rPr>
                <w:rFonts w:ascii="標楷體" w:hAnsi="標楷體" w:eastAsia="標楷體"/>
              </w:rPr>
            </w:pPr>
            <w:r>
              <w:rPr>
                <w:rFonts w:hint="eastAsia" w:ascii="標楷體" w:hAnsi="標楷體" w:eastAsia="標楷體" w:cs="標楷體"/>
                <w:position w:val="1"/>
                <w:szCs w:val="24"/>
              </w:rPr>
              <w:t>3.</w:t>
            </w:r>
            <w:r>
              <w:rPr>
                <w:rFonts w:ascii="標楷體" w:hAnsi="標楷體" w:eastAsia="標楷體" w:cs="標楷體"/>
                <w:position w:val="1"/>
                <w:szCs w:val="24"/>
              </w:rPr>
              <w:t>本人知悉並遵守「採購評</w:t>
            </w:r>
            <w:r>
              <w:rPr>
                <w:rFonts w:hint="eastAsia" w:ascii="標楷體" w:hAnsi="標楷體" w:eastAsia="標楷體" w:cs="標楷體"/>
                <w:color w:val="3333FF"/>
                <w:position w:val="1"/>
                <w:szCs w:val="24"/>
              </w:rPr>
              <w:t>選</w:t>
            </w:r>
            <w:r>
              <w:rPr>
                <w:rFonts w:ascii="標楷體" w:hAnsi="標楷體" w:eastAsia="標楷體" w:cs="標楷體"/>
                <w:position w:val="1"/>
                <w:szCs w:val="24"/>
              </w:rPr>
              <w:t>委員評選須知」之內容</w:t>
            </w:r>
            <w:r>
              <w:rPr>
                <w:rFonts w:hint="eastAsia" w:ascii="標楷體" w:hAnsi="標楷體" w:eastAsia="標楷體" w:cs="標楷體"/>
                <w:position w:val="1"/>
                <w:szCs w:val="24"/>
              </w:rPr>
              <w:t>。</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300" w:lineRule="auto"/>
        <w:ind w:right="-41" w:rightChars="-1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28"/>
          <w:szCs w:val="36"/>
        </w:rPr>
        <w:t>中華民國橄欖球協會</w:t>
      </w:r>
      <w:r>
        <w:rPr>
          <w:rFonts w:hint="eastAsia" w:ascii="標楷體" w:hAnsi="標楷體" w:eastAsia="標楷體"/>
          <w:b/>
          <w:sz w:val="28"/>
          <w:szCs w:val="28"/>
        </w:rPr>
        <w:t>2026年亞洲聯盟盃橄欖球錦標賽-參賽膳宿採購案(案號：11500</w:t>
      </w:r>
      <w:r>
        <w:rPr>
          <w:rFonts w:hint="eastAsia" w:ascii="標楷體" w:hAnsi="標楷體" w:eastAsia="標楷體"/>
          <w:b/>
          <w:sz w:val="28"/>
          <w:szCs w:val="28"/>
          <w:lang w:val="en-US" w:eastAsia="zh-TW"/>
        </w:rPr>
        <w:t>3</w:t>
      </w:r>
      <w:bookmarkStart w:id="8" w:name="_GoBack"/>
      <w:bookmarkEnd w:id="8"/>
      <w:r>
        <w:rPr>
          <w:rFonts w:hint="eastAsia" w:ascii="標楷體" w:hAnsi="標楷體" w:eastAsia="標楷體"/>
          <w:b/>
          <w:sz w:val="28"/>
          <w:szCs w:val="28"/>
        </w:rPr>
        <w:t>)</w:t>
      </w:r>
      <w:r>
        <w:rPr>
          <w:rFonts w:hint="eastAsia" w:ascii="標楷體" w:hAnsi="標楷體" w:eastAsia="標楷體"/>
          <w:b/>
          <w:sz w:val="28"/>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894"/>
        <w:gridCol w:w="98"/>
        <w:gridCol w:w="861"/>
        <w:gridCol w:w="240"/>
        <w:gridCol w:w="742"/>
        <w:gridCol w:w="425"/>
        <w:gridCol w:w="425"/>
        <w:gridCol w:w="993"/>
        <w:gridCol w:w="992"/>
        <w:gridCol w:w="425"/>
        <w:gridCol w:w="567"/>
        <w:gridCol w:w="851"/>
      </w:tblGrid>
      <w:tr>
        <w:tblPrEx>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評分後若投標廠商之總平均75分以上（含）者為及格，未達者，不列入優勝廠商。</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0F71EB"/>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042"/>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47FA2"/>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37A8"/>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57E1B"/>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24CF"/>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23637271"/>
    <w:rsid w:val="2732083B"/>
    <w:rsid w:val="287D6EED"/>
    <w:rsid w:val="3A05281A"/>
    <w:rsid w:val="3A4F57F1"/>
    <w:rsid w:val="40135F01"/>
    <w:rsid w:val="40AA2412"/>
    <w:rsid w:val="47735333"/>
    <w:rsid w:val="4C61014E"/>
    <w:rsid w:val="5410591E"/>
    <w:rsid w:val="58E622AB"/>
    <w:rsid w:val="5C6C4183"/>
    <w:rsid w:val="64E1610E"/>
    <w:rsid w:val="68FE3A93"/>
    <w:rsid w:val="796F149C"/>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semiHidden/>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qFormat/>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 w:type="paragraph" w:customStyle="1" w:styleId="22">
    <w:name w:val="Table Paragraph"/>
    <w:basedOn w:val="1"/>
    <w:qFormat/>
    <w:uiPriority w:val="1"/>
  </w:style>
  <w:style w:type="table" w:customStyle="1" w:styleId="23">
    <w:name w:val="Table Normal1"/>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7</Pages>
  <Words>536</Words>
  <Characters>3056</Characters>
  <Lines>25</Lines>
  <Paragraphs>7</Paragraphs>
  <ScaleCrop>false</ScaleCrop>
  <LinksUpToDate>false</LinksUpToDate>
  <CharactersWithSpaces>3585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2026-06-07T05:43:00Z</dcterms:created>
  <dc:creator>解雅麗</dc:creator>
  <cp:lastModifiedBy>user</cp:lastModifiedBy>
  <cp:lastPrinted>2026-06-07T04:41:00Z</cp:lastPrinted>
  <dcterms:modified xsi:type="dcterms:W3CDTF">2026-06-29T09:01:30Z</dcterms:modified>
  <dc:title>健保IC卡宣導計畫（草案）         89</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